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afterAutospacing="0" w:line="360" w:lineRule="auto"/>
        <w:rPr>
          <w:rFonts w:ascii="Times New Roman Cyr" w:hAnsi="Times New Roman Cyr" w:cs="Times New Roman Cyr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О рейтинге эффективности деятельности муниципальных архивов Оренбургской области за 2023-2025 гг.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1)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none"/>
        </w:rPr>
      </w:r>
    </w:p>
    <w:p>
      <w:pPr>
        <w:ind w:firstLine="720"/>
        <w:jc w:val="center"/>
        <w:spacing w:after="0" w:afterAutospacing="0" w:line="360" w:lineRule="auto"/>
        <w:rPr>
          <w:rFonts w:ascii="Times New Roman Cyr" w:hAnsi="Times New Roman Cyr" w:cs="Times New Roman Cyr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b/>
          <w:bCs/>
          <w:sz w:val="28"/>
          <w:szCs w:val="28"/>
          <w:highlight w:val="none"/>
        </w:rPr>
      </w:r>
    </w:p>
    <w:p>
      <w:pPr>
        <w:ind w:left="5102" w:right="0" w:firstLine="0"/>
        <w:jc w:val="both"/>
        <w:spacing w:after="0" w:afterAutospacing="0" w:line="240" w:lineRule="auto"/>
        <w:tabs>
          <w:tab w:val="left" w:pos="6236" w:leader="none"/>
        </w:tabs>
        <w:rPr>
          <w:rFonts w:ascii="Times New Roman Cyr" w:hAnsi="Times New Roman Cyr" w:cs="Times New Roman Cyr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Times New Roman Cyr" w:hAnsi="Times New Roman Cyr" w:cs="Times New Roman Cyr"/>
          <w:b w:val="0"/>
          <w:bCs w:val="0"/>
          <w:sz w:val="24"/>
          <w:szCs w:val="24"/>
          <w:highlight w:val="none"/>
        </w:rPr>
        <w:t xml:space="preserve">Выступление председателя комитета по делам архивов Оренбургской области И.М. Останиной на заседании НМС архивных учреждений ПФО, </w:t>
      </w:r>
      <w:r>
        <w:rPr>
          <w:rFonts w:ascii="Times New Roman Cyr" w:hAnsi="Times New Roman Cyr" w:cs="Times New Roman Cyr"/>
          <w:b w:val="0"/>
          <w:bCs w:val="0"/>
          <w:sz w:val="24"/>
          <w:szCs w:val="24"/>
          <w:highlight w:val="none"/>
        </w:rPr>
      </w:r>
    </w:p>
    <w:p>
      <w:pPr>
        <w:ind w:left="5102" w:right="0" w:firstLine="0"/>
        <w:jc w:val="both"/>
        <w:spacing w:after="0" w:afterAutospacing="0" w:line="240" w:lineRule="auto"/>
        <w:tabs>
          <w:tab w:val="left" w:pos="6236" w:leader="none"/>
        </w:tabs>
        <w:rPr>
          <w:rFonts w:ascii="Times New Roman Cyr" w:hAnsi="Times New Roman Cyr" w:cs="Times New Roman Cyr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Times New Roman Cyr" w:hAnsi="Times New Roman Cyr" w:cs="Times New Roman Cyr"/>
          <w:b w:val="0"/>
          <w:bCs w:val="0"/>
          <w:sz w:val="24"/>
          <w:szCs w:val="24"/>
          <w:highlight w:val="none"/>
        </w:rPr>
        <w:t xml:space="preserve">3 июня, г. Нижний Новгород</w:t>
      </w:r>
      <w:r>
        <w:rPr>
          <w:rFonts w:ascii="Times New Roman Cyr" w:hAnsi="Times New Roman Cyr" w:cs="Times New Roman Cyr"/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0"/>
          <w:szCs w:val="20"/>
        </w:rPr>
      </w:r>
    </w:p>
    <w:p>
      <w:pPr>
        <w:pStyle w:val="882"/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2"/>
        <w:ind w:firstLine="720"/>
        <w:jc w:val="both"/>
        <w:spacing w:after="0" w:afterAutospacing="0" w:line="360" w:lineRule="auto"/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В 2022 году с целью мониторинга деятельности муниципальных архивов Оренбургской области, выявления проблемных направлений, требующих внимания руководства муниципального образования, 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комитетом по делам архивов Оренбургской области (далее – комитет) принято решение о введении рейтинга эффективности деятельности муниципальных архивов Оренбургской области.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</w:p>
    <w:p>
      <w:pPr>
        <w:pStyle w:val="882"/>
        <w:ind w:firstLine="720"/>
        <w:jc w:val="both"/>
        <w:spacing w:after="0" w:afterAutospacing="0" w:line="360" w:lineRule="auto"/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Изучив практику субъектов Российской Федерации по данному вопросу, за основу взят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опыт коллег из Республики Башкортостан .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/>
    </w:p>
    <w:p>
      <w:pPr>
        <w:pStyle w:val="882"/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Приказом комитета от 22.06.2022 № 45 утверждены показатели</w:t>
      </w:r>
      <w:r>
        <w:rPr>
          <w:rFonts w:ascii="Times New Roman Cyr" w:hAnsi="Times New Roman Cyr" w:eastAsia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и методики</w:t>
      </w:r>
      <w:r>
        <w:rPr>
          <w:rFonts w:ascii="Times New Roman Cyr" w:hAnsi="Times New Roman Cyr" w:eastAsia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расчета эффективности</w:t>
      </w:r>
      <w:r>
        <w:rPr>
          <w:rFonts w:ascii="Times New Roman Cyr" w:hAnsi="Times New Roman Cyr" w:eastAsia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деятельности</w:t>
      </w:r>
      <w:r>
        <w:rPr>
          <w:rFonts w:ascii="Times New Roman Cyr" w:hAnsi="Times New Roman Cyr" w:eastAsia="Times New Roman Cyr" w:cs="Times New Roman Cyr"/>
          <w:spacing w:val="-65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муниципальных</w:t>
      </w:r>
      <w:r>
        <w:rPr>
          <w:rFonts w:ascii="Times New Roman Cyr" w:hAnsi="Times New Roman Cyr" w:eastAsia="Times New Roman Cyr" w:cs="Times New Roman Cyr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архивов Оренбургской области.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2)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Рейтинг включал 10 показателей по основным направлениям деятельности, все 42 муниципальных архива разделены на 4 группы, исходя из численности населения муниципального образования.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По итог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ам расширенного заседания коллегии комитета в октябре 2022 г., на котором руководители двух муниципальных архивов рассказали о предварительном подсчете эффективности своего архива, обсудили проблемы, возникающие при расчете показателей, приказом комитета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от 29.12.2022 № 129 п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еречень</w:t>
      </w:r>
      <w:r>
        <w:rPr>
          <w:rFonts w:ascii="Times New Roman Cyr" w:hAnsi="Times New Roman Cyr" w:eastAsia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показателей</w:t>
      </w:r>
      <w:r>
        <w:rPr>
          <w:rFonts w:ascii="Times New Roman Cyr" w:hAnsi="Times New Roman Cyr" w:eastAsia="Times New Roman Cyr" w:cs="Times New Roman Cyr"/>
          <w:spacing w:val="1"/>
          <w:sz w:val="28"/>
          <w:szCs w:val="28"/>
        </w:rPr>
        <w:t xml:space="preserve"> увеличен до 12 (показатель по согласованию ЭПМК комитета номенклатур дел и инструкций по делопроизводству разделен на 2, показатель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Соблюдение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требований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к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зданиям и помещениям архива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 заменен на показатель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Доля архивных документов муниципального архива,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 хранящихся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в нормативных условиях, в общем количест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ве архивных документов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, добавлен показатель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Факты у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трат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ы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 документов Архивного фонда Российской Федерации  и других архивных документов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).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3)</w:t>
      </w:r>
      <w:r>
        <w:rPr>
          <w:rFonts w:ascii="Times New Roman Cyr" w:hAnsi="Times New Roman Cyr" w:eastAsia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2"/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Итоги 2022 года муниципальные архивы подводили самостоятельно. Комитет не отправлял результаты рейтинга главам муниципальных образований, провел анализ и выявил типичные ошибки при подсчете показателей.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4)</w:t>
      </w:r>
      <w:r>
        <w:rPr>
          <w:rFonts w:ascii="Times New Roman Cyr" w:hAnsi="Times New Roman Cyr" w:eastAsia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Cs w:val="28"/>
        </w:rPr>
      </w:r>
    </w:p>
    <w:p>
      <w:pPr>
        <w:pStyle w:val="882"/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Проведенный анализ выявил потребность повторной корректировки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 показателей, чтобы общая картина была более объективной (например, архив ЗАТО Комаровский на последнем месте только из-за того, что в нем хранится практически наименьшее количество дел и самое большое количество свободных помещений). </w:t>
      </w:r>
      <w:r>
        <w:rPr>
          <w:rFonts w:ascii="Times New Roman Cyr" w:hAnsi="Times New Roman Cyr" w:cs="Times New Roman Cyr"/>
          <w:szCs w:val="28"/>
        </w:rPr>
      </w:r>
      <w:r>
        <w:rPr>
          <w:rFonts w:ascii="Times New Roman Cyr" w:hAnsi="Times New Roman Cyr" w:cs="Times New Roman Cyr"/>
          <w:szCs w:val="28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С 2023 года мы подводим официальные итоги э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ффективности деятельности муниципальных архивов с награждением архивов, занявших 1-3 места в каждой группе: муниципальное образование получает именную плакетку и благодарность комитета, архивы, занявшие 1 места, награждаются переходящим кубком победителя.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5)</w:t>
      </w:r>
      <w:r/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tabs>
          <w:tab w:val="left" w:pos="355" w:leader="none"/>
        </w:tabs>
        <w:rPr>
          <w:rFonts w:ascii="Times New Roman Cyr" w:hAnsi="Times New Roman Cyr" w:cs="Times New Roman Cyr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Награждение победителей рейтинга за 2023 года состоялось в рамках торжественного собрания, посвященного 105-летию архивной службы Оренбургской области. Награды вручал в</w:t>
      </w:r>
      <w:r>
        <w:rPr>
          <w:rFonts w:ascii="Times New Roman Cyr" w:hAnsi="Times New Roman Cyr" w:eastAsia="Times New Roman Cyr" w:cs="Times New Roman Cyr"/>
          <w:color w:val="000000"/>
          <w:sz w:val="28"/>
        </w:rPr>
        <w:t xml:space="preserve">ице-губернатор – заместитель председателя Правительства – руководитель аппарата Губернатора и Правительства Оренбургской области </w:t>
      </w:r>
      <w:r>
        <w:rPr>
          <w:rFonts w:ascii="Times New Roman Cyr" w:hAnsi="Times New Roman Cyr" w:eastAsia="Times New Roman Cyr" w:cs="Times New Roman Cyr"/>
          <w:color w:val="000000"/>
          <w:sz w:val="28"/>
        </w:rPr>
        <w:t xml:space="preserve">Д.В. Кулагин, получали награды – главы муниципальных образований.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6)</w:t>
      </w:r>
      <w:r/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При подведении итогов за 2024 год мы вновь пришли к выводу о необходимости корректировки показателей и методики: к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оличество показателей сократилось до 10,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архивы разделены на группы, исходя из количества хранящихся в них документов.</w:t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7)</w:t>
      </w:r>
      <w:r/>
      <w:r>
        <w:rPr>
          <w:rFonts w:ascii="Times New Roman Cyr" w:hAnsi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В настоящий момент к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ритериями для расчета показателей эффективности среди муниципальных архивов являются: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  <w:highlight w:val="none"/>
        </w:rPr>
        <w:t xml:space="preserve">(все критерии – на слайде 8)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:  </w:t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у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ровень 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обеспечения нормативных условий хран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ения документов в архивохранилищах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;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загружен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ность архивных полок в архивох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ранилищах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;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доля согласованных нормативных документов по архивному делу и делопроизводству от общего количества организаций-источников комплектования;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доля утвержденных описей дел от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общего количества организаций-источников комплектования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;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доля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существующей задолженности по передаче документов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организаций-источников комплектования на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постоянное хранение в архивы;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перевод заголовков архивных дел в электронный вид</w:t>
      </w:r>
      <w:r>
        <w:rPr>
          <w:rFonts w:ascii="Times New Roman Cyr" w:hAnsi="Times New Roman Cyr" w:eastAsia="Times New Roman Cyr" w:cs="Times New Roman Cyr"/>
          <w:sz w:val="28"/>
          <w:szCs w:val="28"/>
        </w:rPr>
        <w:t xml:space="preserve">;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качество предоставленных услуг архивом, выражающееся в количестве положительно исполненных запросов граждан;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numPr>
          <w:ilvl w:val="0"/>
          <w:numId w:val="1"/>
        </w:numPr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проведение проверки наличия и состояния архивных документов в муниципальных  архивах.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880"/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В критерии включены наиболее важные направления, требующие пристального внимания. Например, критерий по переводу заголовков в электронный вид. В 2022 году комитетом перед всеми архивами поставлена задача перевести заголовки дел в электронный вид за 3 года. В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2022 году в м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униципальных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архивах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 хранилось 1 563 385 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ед.хр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.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, из них в электронный вид переведено 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29 319 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ед.хр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. (1,9%). По состоянию на конец 2025 года количество переведенных заголовков составило 1 673 957 ед.хр. от хранящихся </w:t>
      </w:r>
      <w:r>
        <w:rPr>
          <w:sz w:val="28"/>
          <w:szCs w:val="28"/>
          <w:highlight w:val="none"/>
        </w:rPr>
        <w:t xml:space="preserve">1 833 000</w:t>
      </w:r>
      <w:r>
        <w:rPr>
          <w:sz w:val="28"/>
          <w:szCs w:val="28"/>
          <w:highlight w:val="none"/>
        </w:rPr>
        <w:t xml:space="preserve"> ед.хр.</w:t>
      </w:r>
      <w:r>
        <w:rPr>
          <w:sz w:val="20"/>
          <w:szCs w:val="20"/>
          <w:highlight w:val="none"/>
        </w:rPr>
        <w:t xml:space="preserve"> </w:t>
      </w:r>
      <w:r/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(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91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yellow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t xml:space="preserve">%).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9)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</w:p>
    <w:p>
      <w:pPr>
        <w:pStyle w:val="880"/>
        <w:ind w:left="0"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</w:rPr>
        <w:suppressLineNumbers w:val="0"/>
      </w:pPr>
      <w:r>
        <w:rPr>
          <w:rFonts w:ascii="Times New Roman Cyr" w:hAnsi="Times New Roman Cyr" w:cs="Times New Roman Cyr"/>
          <w:sz w:val="28"/>
          <w:szCs w:val="28"/>
          <w:highlight w:val="none"/>
        </w:rPr>
        <w:t xml:space="preserve">По итогам каждого года проводится анализ итогов эффективности деятельности.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Результаты рейтинга направляются главам муниципальных образований для принятия управленческих решений по улучшению деятельности архивов.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(слайды 10-11) </w:t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Результаты рейтинга в 2023-2025 гг. показывают, в основном, повышение эффективности деятельности. Однако, есть муниципальные образования, которые снижают эффективность. Комитетом по каждому муниципальному архиву проводится тщательный анализ причин снижения деятельности.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(слайды 12-13)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Например, по итогам трехлетнего рейтинга в архивах двух муниципальных образований  – Александровском и Сакмарском районах – выявлены проблемы при работе с организациями – источниками комплектования и в учете документов. В 2026 году нами принято решение о взятии данных муниципальных архивов под патронаж: минимум раз в квартал в архивы осуществляются командировки с целью оказания помощи и мониторинга хода выполнения плана мероприятий по решению возникших проблем. За истекший период 2026 года в архив Александровского райна выезжали специалисты комитета по учету, использованию документов, главный хранитель фондов Объединенного государственного архива Оренбургской области, оказавшие практическую помощь работникам муниципального архива.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  <w:highlight w:val="none"/>
        </w:rPr>
        <w:t xml:space="preserve">(слайд 14)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8"/>
          <w:szCs w:val="28"/>
          <w:highlight w:val="none"/>
        </w:rPr>
        <w:t xml:space="preserve">Администрацией района для специалиста архива внепланово выделены средства на повышение квалификации – обучение пройдено в апреле 2026 г. на базе ОГАОО.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В Сакмарском районе проведено рабочее совещание сотрудников комитета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с заместителем главы администрации, на котором обсуждались основные пути решения проблемных вопросов.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По итогам рейтингования в 2023-2025 годах мы наблюдаем 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lang w:val="ru-RU"/>
        </w:rPr>
        <w:t xml:space="preserve">повышение средней эффективности деятельности муниципальных архивов Оренбургской области, 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улучшение показателей.</w:t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В 2023 г. минимальный показатель составлял 0,37, максимальный - 0,96; в 2024 г. - 0,54 и 1,14 соответственно, в 2025 г. - 0,59 и 1,18.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15)</w:t>
      </w:r>
      <w:r/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Средняя эффективность в 2023 г. составляла 0,7, в 2024  - 0,84, в 2025 г. - 0,9.</w:t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Практика проведения рейтинга показала его эффективность и «узкие места» в деятельности архивов, на которые обращают внимание, по которым в последствие усиливают работу.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360" w:lineRule="auto"/>
        <w:rPr>
          <w:rFonts w:ascii="Times New Roman Cyr" w:hAnsi="Times New Roman Cyr" w:cs="Times New Roman Cyr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В настоящее время Губернатором Оренбургской области поручено комитету разработать в срок до 1 июля 2026 года нормативный правовой акт о выделении субсидии муниципальным архивам, ставшим победителями рейтинга.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</w:t>
      </w:r>
      <w:r>
        <w:rPr>
          <w:rFonts w:ascii="Times New Roman Cyr" w:hAnsi="Times New Roman Cyr" w:eastAsia="Times New Roman Cyr" w:cs="Times New Roman Cyr"/>
          <w:b/>
          <w:bCs/>
          <w:sz w:val="28"/>
          <w:szCs w:val="28"/>
        </w:rPr>
        <w:t xml:space="preserve">(слайд 16)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</w:r>
      <w:r>
        <w:rPr>
          <w:rFonts w:ascii="Times New Roman Cyr" w:hAnsi="Times New Roman Cyr" w:cs="Times New Roman Cyr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51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</w:pPr>
    <w:fldSimple w:instr="PAGE \* MERGEFORMAT">
      <w:r>
        <w:t xml:space="preserve">1</w:t>
      </w:r>
    </w:fldSimple>
    <w:r/>
    <w:r/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No Spacing"/>
    <w:basedOn w:val="874"/>
    <w:uiPriority w:val="1"/>
    <w:qFormat/>
    <w:pPr>
      <w:spacing w:after="0" w:line="240" w:lineRule="auto"/>
    </w:pPr>
  </w:style>
  <w:style w:type="paragraph" w:styleId="878">
    <w:name w:val="List Paragraph"/>
    <w:basedOn w:val="874"/>
    <w:uiPriority w:val="34"/>
    <w:qFormat/>
    <w:pPr>
      <w:contextualSpacing/>
      <w:ind w:left="720"/>
    </w:pPr>
  </w:style>
  <w:style w:type="character" w:styleId="879" w:default="1">
    <w:name w:val="Default Paragraph Font"/>
    <w:uiPriority w:val="1"/>
    <w:semiHidden/>
    <w:unhideWhenUsed/>
  </w:style>
  <w:style w:type="paragraph" w:styleId="880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1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2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semenovats</cp:lastModifiedBy>
  <cp:revision>7</cp:revision>
  <dcterms:modified xsi:type="dcterms:W3CDTF">2026-05-13T12:01:25Z</dcterms:modified>
</cp:coreProperties>
</file>